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,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Слободан Виденовић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(у даљем тексту: Наручилац) 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текућем и инвестиционом одржавању бирачких места на територији града Зајечара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текућем и инвестиционом одржавању бирачких места на територији града Зајечара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_________________2025.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___________2025.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</w:t>
      </w:r>
      <w:r>
        <w:rPr>
          <w:rFonts w:cs="Arial" w:ascii="Arial" w:hAnsi="Arial"/>
          <w:sz w:val="22"/>
          <w:szCs w:val="22"/>
          <w:lang w:val="sr-Latn-RS"/>
        </w:rPr>
        <w:t>5</w:t>
      </w:r>
      <w:r>
        <w:rPr>
          <w:rFonts w:cs="Arial" w:ascii="Arial" w:hAnsi="Arial"/>
          <w:sz w:val="22"/>
          <w:szCs w:val="22"/>
          <w:lang w:val="sr-RS"/>
        </w:rPr>
        <w:t>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текућем и инвестиционом одржавању бирачких места на територији града Зајечара.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територији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en-US"/>
        </w:rPr>
        <w:t>г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>рада Зајечара.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шест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276537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LibreOffice/7.3.2.2$Windows_X86_64 LibreOffice_project/49f2b1bff42cfccbd8f788c8dc32c1c309559be0</Application>
  <AppVersion>15.0000</AppVersion>
  <Pages>5</Pages>
  <Words>1346</Words>
  <Characters>8338</Characters>
  <CharactersWithSpaces>9622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2025-04-30T10:02:05Z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